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Italy engages with crypto firms on regulatory safeguards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Italy’s Banca d’Italia and Consob are in talks with crypto firms to ensure compliance, as regulatory gaps widen between the EU and US.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Italy’s central bank and securities regulator are in discussions with crypto service providers to ensure adequate safeguards against financial and cybersecurity risks, according to Bank of Italy Governor Fabio Panetta.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Panetta discussed key issues related to crypto assets, digital finance and cybersecurity risks pertaining to global and European regulations at the 31st Assiom Forex Congress on Feb. 15.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According to Panetta, the crypto ecosystem is under global regulatory scrutiny due to risks including money laundering and financial stability concerns.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